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9584B" w:rsidRPr="00470AB3" w:rsidTr="00470AB3">
        <w:tc>
          <w:tcPr>
            <w:tcW w:w="9242" w:type="dxa"/>
          </w:tcPr>
          <w:p w:rsidR="0039584B" w:rsidRDefault="0039584B" w:rsidP="00352B4E">
            <w:pPr>
              <w:spacing w:after="0" w:line="240" w:lineRule="auto"/>
              <w:rPr>
                <w:b/>
                <w:sz w:val="28"/>
                <w:szCs w:val="28"/>
              </w:rPr>
            </w:pPr>
            <w:bookmarkStart w:id="0" w:name="_GoBack"/>
            <w:bookmarkEnd w:id="0"/>
            <w:r>
              <w:rPr>
                <w:b/>
                <w:sz w:val="28"/>
                <w:szCs w:val="28"/>
              </w:rPr>
              <w:t>Schedule 1 -</w:t>
            </w:r>
            <w:r w:rsidRPr="00352B4E">
              <w:rPr>
                <w:b/>
                <w:sz w:val="28"/>
                <w:szCs w:val="28"/>
              </w:rPr>
              <w:t xml:space="preserve"> PROPOSAL NOTICE </w:t>
            </w:r>
          </w:p>
          <w:p w:rsidR="0039584B" w:rsidRDefault="0039584B" w:rsidP="00352B4E">
            <w:pPr>
              <w:spacing w:after="0" w:line="240" w:lineRule="auto"/>
              <w:rPr>
                <w:b/>
              </w:rPr>
            </w:pPr>
          </w:p>
          <w:p w:rsidR="0039584B" w:rsidRPr="008A1ABF" w:rsidRDefault="0039584B" w:rsidP="00352B4E">
            <w:pPr>
              <w:spacing w:after="0" w:line="240" w:lineRule="auto"/>
              <w:rPr>
                <w:b/>
              </w:rPr>
            </w:pPr>
            <w:r w:rsidRPr="008A1ABF">
              <w:rPr>
                <w:b/>
              </w:rPr>
              <w:t>M</w:t>
            </w:r>
            <w:r>
              <w:rPr>
                <w:b/>
              </w:rPr>
              <w:t>obile Homes</w:t>
            </w:r>
            <w:r w:rsidRPr="008A1ABF">
              <w:rPr>
                <w:b/>
              </w:rPr>
              <w:t xml:space="preserve"> (S</w:t>
            </w:r>
            <w:r>
              <w:rPr>
                <w:b/>
              </w:rPr>
              <w:t>ite</w:t>
            </w:r>
            <w:r w:rsidRPr="008A1ABF">
              <w:rPr>
                <w:b/>
              </w:rPr>
              <w:t xml:space="preserve"> R</w:t>
            </w:r>
            <w:r>
              <w:rPr>
                <w:b/>
              </w:rPr>
              <w:t>ules</w:t>
            </w:r>
            <w:r w:rsidRPr="008A1ABF">
              <w:rPr>
                <w:b/>
              </w:rPr>
              <w:t>)(</w:t>
            </w:r>
            <w:smartTag w:uri="urn:schemas-microsoft-com:office:smarttags" w:element="country-region">
              <w:smartTag w:uri="urn:schemas-microsoft-com:office:smarttags" w:element="place">
                <w:r w:rsidRPr="008A1ABF">
                  <w:rPr>
                    <w:b/>
                  </w:rPr>
                  <w:t>E</w:t>
                </w:r>
                <w:r>
                  <w:rPr>
                    <w:b/>
                  </w:rPr>
                  <w:t>ngland</w:t>
                </w:r>
              </w:smartTag>
            </w:smartTag>
            <w:r w:rsidRPr="008A1ABF">
              <w:rPr>
                <w:b/>
              </w:rPr>
              <w:t>) R</w:t>
            </w:r>
            <w:r>
              <w:rPr>
                <w:b/>
              </w:rPr>
              <w:t xml:space="preserve">egulations </w:t>
            </w:r>
            <w:r w:rsidRPr="008A1ABF">
              <w:rPr>
                <w:b/>
              </w:rPr>
              <w:t>2014</w:t>
            </w:r>
          </w:p>
          <w:p w:rsidR="0039584B" w:rsidRPr="00470AB3" w:rsidRDefault="0039584B" w:rsidP="00470AB3">
            <w:pPr>
              <w:spacing w:after="0" w:line="240" w:lineRule="auto"/>
            </w:pPr>
            <w:r w:rsidRPr="00352B4E">
              <w:rPr>
                <w:b/>
                <w:szCs w:val="20"/>
              </w:rPr>
              <w:t>Mobile Homes Act 1983, as amended by the Mobile Homes Act 2013</w:t>
            </w:r>
          </w:p>
        </w:tc>
      </w:tr>
      <w:tr w:rsidR="0039584B" w:rsidRPr="00470AB3" w:rsidTr="00470AB3">
        <w:tc>
          <w:tcPr>
            <w:tcW w:w="9242" w:type="dxa"/>
          </w:tcPr>
          <w:p w:rsidR="0039584B" w:rsidRPr="00424243" w:rsidRDefault="0039584B" w:rsidP="00470AB3">
            <w:pPr>
              <w:spacing w:after="0" w:line="220" w:lineRule="atLeast"/>
            </w:pPr>
            <w:r w:rsidRPr="00352B4E">
              <w:rPr>
                <w:b/>
              </w:rPr>
              <w:t>1</w:t>
            </w:r>
            <w:r w:rsidRPr="00424243">
              <w:t>. Clearly set out the proposal(s) being made (see note i)</w:t>
            </w:r>
          </w:p>
          <w:p w:rsidR="0039584B" w:rsidRPr="00424243" w:rsidRDefault="0039584B" w:rsidP="00470AB3">
            <w:pPr>
              <w:spacing w:after="0" w:line="240" w:lineRule="auto"/>
            </w:pPr>
            <w:permStart w:id="298790951" w:edGrp="everyone"/>
            <w:r>
              <w:t xml:space="preserve">  </w:t>
            </w:r>
            <w:r w:rsidRPr="00424243">
              <w:t xml:space="preserve"> </w:t>
            </w:r>
            <w:permEnd w:id="298790951"/>
          </w:p>
          <w:p w:rsidR="0039584B" w:rsidRPr="00424243" w:rsidRDefault="0039584B" w:rsidP="00470AB3">
            <w:pPr>
              <w:spacing w:after="0" w:line="240" w:lineRule="auto"/>
            </w:pPr>
          </w:p>
        </w:tc>
      </w:tr>
      <w:tr w:rsidR="0039584B" w:rsidRPr="00470AB3" w:rsidTr="00470AB3">
        <w:tc>
          <w:tcPr>
            <w:tcW w:w="9242" w:type="dxa"/>
          </w:tcPr>
          <w:p w:rsidR="0039584B" w:rsidRPr="00424243" w:rsidRDefault="0039584B" w:rsidP="00424243">
            <w:pPr>
              <w:spacing w:after="0" w:line="220" w:lineRule="atLeast"/>
            </w:pPr>
            <w:r w:rsidRPr="00352B4E">
              <w:rPr>
                <w:b/>
              </w:rPr>
              <w:t>2</w:t>
            </w:r>
            <w:r w:rsidRPr="00424243">
              <w:t>. State the reasons for making the proposal(s)</w:t>
            </w:r>
          </w:p>
          <w:p w:rsidR="0039584B" w:rsidRPr="00424243" w:rsidRDefault="0039584B" w:rsidP="00470AB3">
            <w:pPr>
              <w:spacing w:after="0" w:line="240" w:lineRule="auto"/>
            </w:pPr>
            <w:permStart w:id="1157456553" w:edGrp="everyone"/>
            <w:r>
              <w:t xml:space="preserve">   </w:t>
            </w:r>
            <w:permEnd w:id="1157456553"/>
            <w:r w:rsidRPr="00424243">
              <w:t xml:space="preserve"> </w:t>
            </w:r>
          </w:p>
          <w:p w:rsidR="0039584B" w:rsidRPr="00424243" w:rsidRDefault="0039584B" w:rsidP="00470AB3">
            <w:pPr>
              <w:spacing w:after="0" w:line="240" w:lineRule="auto"/>
            </w:pPr>
          </w:p>
        </w:tc>
      </w:tr>
      <w:tr w:rsidR="0039584B" w:rsidRPr="00470AB3" w:rsidTr="00470AB3">
        <w:tc>
          <w:tcPr>
            <w:tcW w:w="9242" w:type="dxa"/>
          </w:tcPr>
          <w:p w:rsidR="0039584B" w:rsidRPr="00424243" w:rsidRDefault="0039584B" w:rsidP="00470AB3">
            <w:pPr>
              <w:spacing w:after="0" w:line="240" w:lineRule="auto"/>
            </w:pPr>
            <w:r w:rsidRPr="00352B4E">
              <w:rPr>
                <w:b/>
              </w:rPr>
              <w:t>3</w:t>
            </w:r>
            <w:r w:rsidRPr="00424243">
              <w:t xml:space="preserve">. I confirm that the proposals comply with regulations 4 and 5 (prescribed matters) (see note ii)   </w:t>
            </w:r>
          </w:p>
        </w:tc>
      </w:tr>
      <w:tr w:rsidR="0039584B" w:rsidRPr="00470AB3" w:rsidTr="00470AB3">
        <w:tc>
          <w:tcPr>
            <w:tcW w:w="9242" w:type="dxa"/>
          </w:tcPr>
          <w:p w:rsidR="0039584B" w:rsidRPr="00424243" w:rsidRDefault="0039584B" w:rsidP="00470AB3">
            <w:pPr>
              <w:spacing w:after="0" w:line="240" w:lineRule="auto"/>
            </w:pPr>
            <w:r w:rsidRPr="00352B4E">
              <w:rPr>
                <w:b/>
              </w:rPr>
              <w:t>4.</w:t>
            </w:r>
            <w:r w:rsidRPr="00424243">
              <w:t xml:space="preserve"> I confirm that the consultation response document (see note iii) will be sent to each consultee (see note iv).</w:t>
            </w:r>
          </w:p>
        </w:tc>
      </w:tr>
      <w:tr w:rsidR="0039584B" w:rsidRPr="00470AB3" w:rsidTr="00470AB3">
        <w:tc>
          <w:tcPr>
            <w:tcW w:w="9242" w:type="dxa"/>
          </w:tcPr>
          <w:p w:rsidR="0039584B" w:rsidRPr="00424243" w:rsidRDefault="0039584B" w:rsidP="00470AB3">
            <w:pPr>
              <w:spacing w:after="0" w:line="220" w:lineRule="atLeast"/>
            </w:pPr>
            <w:r w:rsidRPr="00352B4E">
              <w:rPr>
                <w:b/>
              </w:rPr>
              <w:t>5.</w:t>
            </w:r>
            <w:r>
              <w:t xml:space="preserve"> </w:t>
            </w:r>
            <w:r w:rsidRPr="00424243">
              <w:t xml:space="preserve">Deemed date of service of this notice (‘first consultation day’) (see note v): </w:t>
            </w:r>
            <w:permStart w:id="592860196" w:edGrp="everyone"/>
            <w:r w:rsidRPr="00424243">
              <w:t xml:space="preserve">          </w:t>
            </w:r>
            <w:permEnd w:id="592860196"/>
          </w:p>
          <w:p w:rsidR="0039584B" w:rsidRPr="00424243" w:rsidRDefault="0039584B" w:rsidP="00352B4E">
            <w:pPr>
              <w:spacing w:after="0" w:line="220" w:lineRule="atLeast"/>
            </w:pPr>
          </w:p>
        </w:tc>
      </w:tr>
      <w:tr w:rsidR="0039584B" w:rsidRPr="00470AB3" w:rsidTr="00470AB3">
        <w:tc>
          <w:tcPr>
            <w:tcW w:w="9242" w:type="dxa"/>
          </w:tcPr>
          <w:p w:rsidR="0039584B" w:rsidRPr="00424243" w:rsidRDefault="0039584B" w:rsidP="00470AB3">
            <w:pPr>
              <w:spacing w:after="0" w:line="220" w:lineRule="atLeast"/>
              <w:rPr>
                <w:b/>
              </w:rPr>
            </w:pPr>
            <w:r>
              <w:rPr>
                <w:b/>
              </w:rPr>
              <w:t xml:space="preserve">6. </w:t>
            </w:r>
            <w:r w:rsidRPr="00424243">
              <w:rPr>
                <w:b/>
              </w:rPr>
              <w:t>Responding to the consultation</w:t>
            </w:r>
          </w:p>
          <w:p w:rsidR="0039584B" w:rsidRPr="00424243" w:rsidRDefault="0039584B" w:rsidP="00470AB3">
            <w:pPr>
              <w:spacing w:after="0" w:line="220" w:lineRule="atLeast"/>
            </w:pPr>
            <w:r>
              <w:t xml:space="preserve">(i) </w:t>
            </w:r>
            <w:r w:rsidRPr="00424243">
              <w:t>My name and address to which responses are to be sent:</w:t>
            </w:r>
          </w:p>
          <w:p w:rsidR="0039584B" w:rsidRPr="00424243" w:rsidRDefault="0039584B" w:rsidP="00470AB3">
            <w:pPr>
              <w:spacing w:after="0" w:line="220" w:lineRule="atLeast"/>
            </w:pPr>
            <w:permStart w:id="2123646933" w:edGrp="everyone"/>
            <w:r w:rsidRPr="00424243">
              <w:t xml:space="preserve">       </w:t>
            </w:r>
            <w:permEnd w:id="2123646933"/>
          </w:p>
          <w:p w:rsidR="0039584B" w:rsidRPr="00424243" w:rsidRDefault="0039584B" w:rsidP="00470AB3">
            <w:pPr>
              <w:spacing w:after="0" w:line="220" w:lineRule="atLeast"/>
            </w:pPr>
          </w:p>
          <w:p w:rsidR="0039584B" w:rsidRPr="00424243" w:rsidRDefault="0039584B" w:rsidP="00470AB3">
            <w:pPr>
              <w:spacing w:after="0" w:line="220" w:lineRule="atLeast"/>
            </w:pPr>
            <w:r>
              <w:t xml:space="preserve">(ii) </w:t>
            </w:r>
            <w:r w:rsidRPr="00424243">
              <w:t>Date by which any responses must be received</w:t>
            </w:r>
            <w:r>
              <w:t xml:space="preserve"> </w:t>
            </w:r>
            <w:r w:rsidRPr="00424243">
              <w:t xml:space="preserve">(see note vi): </w:t>
            </w:r>
            <w:permStart w:id="1289504934" w:edGrp="everyone"/>
            <w:r w:rsidRPr="00424243">
              <w:t xml:space="preserve">    </w:t>
            </w:r>
            <w:permEnd w:id="1289504934"/>
          </w:p>
          <w:p w:rsidR="0039584B" w:rsidRPr="00424243" w:rsidRDefault="0039584B" w:rsidP="00470AB3">
            <w:pPr>
              <w:spacing w:after="0" w:line="220" w:lineRule="atLeast"/>
            </w:pPr>
          </w:p>
          <w:p w:rsidR="0039584B" w:rsidRPr="00424243" w:rsidRDefault="0039584B" w:rsidP="00470AB3">
            <w:pPr>
              <w:spacing w:after="0" w:line="220" w:lineRule="atLeast"/>
            </w:pPr>
            <w:r>
              <w:t xml:space="preserve">(iii) </w:t>
            </w:r>
            <w:r w:rsidRPr="00424243">
              <w:t>Signature</w:t>
            </w:r>
            <w:r>
              <w:t xml:space="preserve"> </w:t>
            </w:r>
            <w:r w:rsidRPr="00424243">
              <w:t>(see note vii)</w:t>
            </w:r>
            <w:r>
              <w:t>:</w:t>
            </w:r>
            <w:r w:rsidRPr="00424243">
              <w:t xml:space="preserve">  </w:t>
            </w:r>
            <w:permStart w:id="1594181462" w:edGrp="everyone"/>
            <w:r w:rsidRPr="00424243">
              <w:t xml:space="preserve">                   </w:t>
            </w:r>
            <w:permEnd w:id="1594181462"/>
          </w:p>
          <w:p w:rsidR="0039584B" w:rsidRDefault="0039584B" w:rsidP="00470AB3">
            <w:pPr>
              <w:spacing w:after="0" w:line="220" w:lineRule="atLeast"/>
            </w:pPr>
          </w:p>
          <w:p w:rsidR="0039584B" w:rsidRPr="00424243" w:rsidRDefault="0039584B" w:rsidP="00470AB3">
            <w:pPr>
              <w:spacing w:after="0" w:line="220" w:lineRule="atLeast"/>
            </w:pPr>
            <w:r>
              <w:t xml:space="preserve">(iv) </w:t>
            </w:r>
            <w:r w:rsidRPr="00424243">
              <w:t>Date</w:t>
            </w:r>
            <w:r>
              <w:t>:</w:t>
            </w:r>
            <w:r w:rsidRPr="00424243">
              <w:t xml:space="preserve"> </w:t>
            </w:r>
            <w:permStart w:id="850723677" w:edGrp="everyone"/>
            <w:r w:rsidRPr="00424243">
              <w:t xml:space="preserve">          </w:t>
            </w:r>
            <w:permEnd w:id="850723677"/>
          </w:p>
          <w:p w:rsidR="0039584B" w:rsidRPr="00424243" w:rsidRDefault="0039584B" w:rsidP="00470AB3">
            <w:pPr>
              <w:spacing w:after="0" w:line="220" w:lineRule="atLeast"/>
            </w:pPr>
          </w:p>
        </w:tc>
      </w:tr>
      <w:tr w:rsidR="0039584B" w:rsidRPr="00470AB3" w:rsidTr="00470AB3">
        <w:tc>
          <w:tcPr>
            <w:tcW w:w="9242" w:type="dxa"/>
          </w:tcPr>
          <w:p w:rsidR="0039584B" w:rsidRPr="00424243" w:rsidRDefault="0039584B" w:rsidP="00470AB3">
            <w:pPr>
              <w:spacing w:after="0" w:line="220" w:lineRule="atLeast"/>
              <w:rPr>
                <w:b/>
              </w:rPr>
            </w:pPr>
            <w:r>
              <w:rPr>
                <w:b/>
              </w:rPr>
              <w:t xml:space="preserve">7. </w:t>
            </w:r>
            <w:r w:rsidRPr="00424243">
              <w:rPr>
                <w:b/>
              </w:rPr>
              <w:t>Data Protection Act 1998</w:t>
            </w:r>
          </w:p>
          <w:p w:rsidR="0039584B" w:rsidRPr="00424243" w:rsidRDefault="0039584B" w:rsidP="00470AB3">
            <w:pPr>
              <w:spacing w:after="0" w:line="220" w:lineRule="atLeast"/>
            </w:pPr>
            <w:r w:rsidRPr="00424243">
              <w:t>Any representations made in response to the consultation cannot be treated as confidential. To comply with the duties contained in the Mobile Homes (Site Rules) (</w:t>
            </w:r>
            <w:smartTag w:uri="urn:schemas-microsoft-com:office:smarttags" w:element="place">
              <w:smartTag w:uri="urn:schemas-microsoft-com:office:smarttags" w:element="country-region">
                <w:r w:rsidRPr="00424243">
                  <w:t>England</w:t>
                </w:r>
              </w:smartTag>
            </w:smartTag>
            <w:r w:rsidRPr="00424243">
              <w:t>) Regulations 2014, it will be necessary for me to disclose information received from you to others, which may include other occupiers, a tribunal and a local authority.</w:t>
            </w:r>
          </w:p>
          <w:p w:rsidR="0039584B" w:rsidRPr="00424243" w:rsidRDefault="0039584B" w:rsidP="00470AB3">
            <w:pPr>
              <w:spacing w:after="0" w:line="220" w:lineRule="atLeast"/>
            </w:pPr>
          </w:p>
        </w:tc>
      </w:tr>
      <w:tr w:rsidR="0039584B" w:rsidRPr="00470AB3" w:rsidTr="00470AB3">
        <w:tc>
          <w:tcPr>
            <w:tcW w:w="9242" w:type="dxa"/>
          </w:tcPr>
          <w:p w:rsidR="0039584B" w:rsidRPr="00424243" w:rsidRDefault="0039584B" w:rsidP="00470AB3">
            <w:pPr>
              <w:spacing w:after="0" w:line="220" w:lineRule="atLeast"/>
              <w:rPr>
                <w:b/>
              </w:rPr>
            </w:pPr>
            <w:r w:rsidRPr="00424243">
              <w:rPr>
                <w:b/>
              </w:rPr>
              <w:t>Notes</w:t>
            </w:r>
          </w:p>
          <w:p w:rsidR="0039584B" w:rsidRPr="00424243" w:rsidRDefault="0039584B" w:rsidP="00470AB3">
            <w:pPr>
              <w:spacing w:after="0" w:line="220" w:lineRule="atLeast"/>
            </w:pPr>
            <w:r w:rsidRPr="001014E8">
              <w:rPr>
                <w:b/>
              </w:rPr>
              <w:t>(i)</w:t>
            </w:r>
            <w:r w:rsidRPr="00424243">
              <w:t xml:space="preserve"> A proposal means a proposal to make, vary or delete a site rule.  A proposal notice may contain more than one proposal, as set out in regulation 8(4).</w:t>
            </w:r>
          </w:p>
          <w:p w:rsidR="0039584B" w:rsidRPr="00424243" w:rsidRDefault="0039584B" w:rsidP="00470AB3">
            <w:pPr>
              <w:spacing w:after="0" w:line="220" w:lineRule="atLeast"/>
            </w:pPr>
          </w:p>
        </w:tc>
      </w:tr>
      <w:tr w:rsidR="0039584B" w:rsidRPr="00470AB3" w:rsidTr="00470AB3">
        <w:tc>
          <w:tcPr>
            <w:tcW w:w="9242" w:type="dxa"/>
          </w:tcPr>
          <w:p w:rsidR="0039584B" w:rsidRDefault="0039584B" w:rsidP="00470AB3">
            <w:pPr>
              <w:spacing w:after="0" w:line="220" w:lineRule="atLeast"/>
              <w:rPr>
                <w:b/>
              </w:rPr>
            </w:pPr>
          </w:p>
          <w:p w:rsidR="0039584B" w:rsidRPr="007852CD" w:rsidRDefault="0039584B" w:rsidP="00470AB3">
            <w:pPr>
              <w:spacing w:after="0" w:line="220" w:lineRule="atLeast"/>
            </w:pPr>
            <w:r w:rsidRPr="007852CD">
              <w:rPr>
                <w:b/>
              </w:rPr>
              <w:t xml:space="preserve">(ii) </w:t>
            </w:r>
            <w:r w:rsidRPr="007852CD">
              <w:rPr>
                <w:b/>
                <w:u w:val="single"/>
              </w:rPr>
              <w:t>Prescribed matters to which site rules may relate</w:t>
            </w:r>
            <w:r w:rsidRPr="007852CD">
              <w:rPr>
                <w:b/>
              </w:rPr>
              <w:t xml:space="preserve"> </w:t>
            </w:r>
            <w:r w:rsidRPr="007852CD">
              <w:rPr>
                <w:sz w:val="22"/>
                <w:szCs w:val="22"/>
              </w:rPr>
              <w:t>(Regulation 4 – matters prescribed for the purposes of section 2C(2)(b) of the 1983 Act)</w:t>
            </w:r>
          </w:p>
          <w:p w:rsidR="0039584B" w:rsidRPr="00424243" w:rsidRDefault="0039584B" w:rsidP="00470AB3">
            <w:pPr>
              <w:spacing w:before="80" w:after="0" w:line="220" w:lineRule="atLeast"/>
              <w:jc w:val="both"/>
            </w:pPr>
            <w:r w:rsidRPr="00424243">
              <w:t>A site rule must be necessary:</w:t>
            </w:r>
          </w:p>
          <w:p w:rsidR="0039584B" w:rsidRPr="00424243" w:rsidRDefault="0039584B" w:rsidP="00470AB3">
            <w:pPr>
              <w:spacing w:before="80" w:after="0" w:line="220" w:lineRule="atLeast"/>
              <w:ind w:left="340"/>
              <w:jc w:val="both"/>
            </w:pPr>
            <w:r w:rsidRPr="00424243">
              <w:t>(a) to ensure acceptable standards are maintained on the site, which will be of general benefit to occupiers; or</w:t>
            </w:r>
          </w:p>
          <w:p w:rsidR="0039584B" w:rsidRPr="00424243" w:rsidRDefault="0039584B" w:rsidP="00470AB3">
            <w:pPr>
              <w:spacing w:before="80" w:after="0" w:line="220" w:lineRule="atLeast"/>
              <w:ind w:left="340"/>
              <w:jc w:val="both"/>
            </w:pPr>
            <w:r w:rsidRPr="00424243">
              <w:t>(b) to promote and maintain community cohesion on the site.</w:t>
            </w:r>
          </w:p>
          <w:p w:rsidR="0039584B" w:rsidRPr="00424243" w:rsidRDefault="0039584B" w:rsidP="00470AB3">
            <w:pPr>
              <w:spacing w:after="0" w:line="220" w:lineRule="atLeast"/>
              <w:rPr>
                <w:b/>
              </w:rPr>
            </w:pPr>
          </w:p>
          <w:p w:rsidR="0039584B" w:rsidRDefault="0039584B" w:rsidP="00470AB3">
            <w:pPr>
              <w:spacing w:after="0" w:line="220" w:lineRule="atLeast"/>
              <w:rPr>
                <w:b/>
              </w:rPr>
            </w:pPr>
          </w:p>
          <w:p w:rsidR="0039584B" w:rsidRPr="00424243" w:rsidRDefault="0039584B" w:rsidP="00470AB3">
            <w:pPr>
              <w:spacing w:after="0" w:line="220" w:lineRule="atLeast"/>
              <w:rPr>
                <w:b/>
              </w:rPr>
            </w:pPr>
          </w:p>
          <w:p w:rsidR="0039584B" w:rsidRDefault="0039584B" w:rsidP="00470AB3">
            <w:pPr>
              <w:spacing w:after="0" w:line="220" w:lineRule="atLeast"/>
              <w:rPr>
                <w:u w:val="single"/>
              </w:rPr>
            </w:pPr>
          </w:p>
          <w:p w:rsidR="0039584B" w:rsidRDefault="0039584B" w:rsidP="00470AB3">
            <w:pPr>
              <w:spacing w:after="0" w:line="220" w:lineRule="atLeast"/>
              <w:rPr>
                <w:u w:val="single"/>
              </w:rPr>
            </w:pPr>
          </w:p>
          <w:p w:rsidR="0039584B" w:rsidRDefault="0039584B" w:rsidP="00470AB3">
            <w:pPr>
              <w:spacing w:after="0" w:line="220" w:lineRule="atLeast"/>
              <w:rPr>
                <w:b/>
                <w:u w:val="single"/>
              </w:rPr>
            </w:pPr>
          </w:p>
          <w:p w:rsidR="0039584B" w:rsidRPr="007852CD" w:rsidRDefault="0039584B" w:rsidP="00470AB3">
            <w:pPr>
              <w:spacing w:after="0" w:line="220" w:lineRule="atLeast"/>
              <w:rPr>
                <w:u w:val="single"/>
              </w:rPr>
            </w:pPr>
            <w:r w:rsidRPr="007852CD">
              <w:rPr>
                <w:b/>
                <w:u w:val="single"/>
              </w:rPr>
              <w:t>Prescribed matters to which site rules are of no effect</w:t>
            </w:r>
            <w:r w:rsidRPr="00424243">
              <w:rPr>
                <w:u w:val="single"/>
              </w:rPr>
              <w:t xml:space="preserve"> so far as they make provision in relation to</w:t>
            </w:r>
            <w:r>
              <w:rPr>
                <w:u w:val="single"/>
              </w:rPr>
              <w:t xml:space="preserve"> </w:t>
            </w:r>
            <w:r w:rsidRPr="007852CD">
              <w:rPr>
                <w:sz w:val="20"/>
                <w:szCs w:val="20"/>
                <w:u w:val="single"/>
              </w:rPr>
              <w:t>(Regulation 5 (Schedule 5) – matters prescribed for the purposes of section 2C(8) of the 1983 Act)</w:t>
            </w:r>
          </w:p>
          <w:p w:rsidR="0039584B" w:rsidRPr="00424243" w:rsidRDefault="0039584B" w:rsidP="00470AB3">
            <w:pPr>
              <w:spacing w:after="0" w:line="220" w:lineRule="atLeast"/>
              <w:rPr>
                <w:u w:val="single"/>
              </w:rPr>
            </w:pPr>
          </w:p>
          <w:p w:rsidR="0039584B" w:rsidRPr="00424243" w:rsidRDefault="0039584B" w:rsidP="00470AB3">
            <w:pPr>
              <w:spacing w:after="0" w:line="220" w:lineRule="atLeast"/>
            </w:pPr>
            <w:r w:rsidRPr="00424243">
              <w:rPr>
                <w:u w:val="single"/>
              </w:rPr>
              <w:t>In relation to the sale or gift of a mobile home</w:t>
            </w:r>
            <w:r w:rsidRPr="00424243">
              <w:t>:</w:t>
            </w:r>
          </w:p>
          <w:p w:rsidR="0039584B" w:rsidRPr="00424243" w:rsidRDefault="0039584B" w:rsidP="00470AB3">
            <w:pPr>
              <w:numPr>
                <w:ilvl w:val="2"/>
                <w:numId w:val="0"/>
              </w:numPr>
              <w:tabs>
                <w:tab w:val="num" w:pos="737"/>
              </w:tabs>
              <w:spacing w:before="80" w:after="0" w:line="220" w:lineRule="atLeast"/>
              <w:ind w:left="737" w:hanging="397"/>
              <w:jc w:val="both"/>
            </w:pPr>
            <w:r w:rsidRPr="00424243">
              <w:t>(a) whether the occupier should be prevented from selling or gifting the mobile home to anyone other than the owner;</w:t>
            </w:r>
          </w:p>
          <w:p w:rsidR="0039584B" w:rsidRPr="00424243" w:rsidRDefault="0039584B" w:rsidP="00470AB3">
            <w:pPr>
              <w:numPr>
                <w:ilvl w:val="2"/>
                <w:numId w:val="0"/>
              </w:numPr>
              <w:tabs>
                <w:tab w:val="num" w:pos="737"/>
              </w:tabs>
              <w:spacing w:before="80" w:after="0" w:line="220" w:lineRule="atLeast"/>
              <w:ind w:left="737" w:hanging="397"/>
              <w:jc w:val="both"/>
            </w:pPr>
            <w:r w:rsidRPr="00424243">
              <w:t>(b) whether the occupier should be required to notify the owner of the occupier’s intention to sell or gift the mobile home;</w:t>
            </w:r>
          </w:p>
          <w:p w:rsidR="0039584B" w:rsidRPr="00424243" w:rsidRDefault="0039584B" w:rsidP="00470AB3">
            <w:pPr>
              <w:numPr>
                <w:ilvl w:val="2"/>
                <w:numId w:val="0"/>
              </w:numPr>
              <w:tabs>
                <w:tab w:val="num" w:pos="737"/>
              </w:tabs>
              <w:spacing w:before="80" w:after="0" w:line="220" w:lineRule="atLeast"/>
              <w:ind w:left="737" w:hanging="397"/>
              <w:jc w:val="both"/>
            </w:pPr>
            <w:r w:rsidRPr="00424243">
              <w:t>(c) whether the occupier should be required to use the services of the owner or a person specified by the owner for the purposes of selling or gifting the mobile home;</w:t>
            </w:r>
          </w:p>
          <w:p w:rsidR="0039584B" w:rsidRPr="00424243" w:rsidRDefault="0039584B" w:rsidP="00470AB3">
            <w:pPr>
              <w:numPr>
                <w:ilvl w:val="2"/>
                <w:numId w:val="0"/>
              </w:numPr>
              <w:tabs>
                <w:tab w:val="num" w:pos="737"/>
              </w:tabs>
              <w:spacing w:before="80" w:after="0" w:line="220" w:lineRule="atLeast"/>
              <w:ind w:left="737" w:hanging="397"/>
              <w:jc w:val="both"/>
            </w:pPr>
            <w:r w:rsidRPr="00424243">
              <w:t>(d) whether the occupier should be prevented from using the services of an estate agent for the purposes of selling the mobile home;</w:t>
            </w:r>
          </w:p>
          <w:p w:rsidR="0039584B" w:rsidRPr="00424243" w:rsidRDefault="0039584B" w:rsidP="00470AB3">
            <w:pPr>
              <w:numPr>
                <w:ilvl w:val="2"/>
                <w:numId w:val="0"/>
              </w:numPr>
              <w:tabs>
                <w:tab w:val="num" w:pos="737"/>
              </w:tabs>
              <w:spacing w:before="80" w:after="0" w:line="220" w:lineRule="atLeast"/>
              <w:ind w:left="737" w:hanging="397"/>
              <w:jc w:val="both"/>
            </w:pPr>
            <w:r w:rsidRPr="00424243">
              <w:t>(e) whether the occupier should be prevented from using services provided by a solicitor for the purposes of selling or gifting the mobile home and assigning the agreement;</w:t>
            </w:r>
          </w:p>
          <w:p w:rsidR="0039584B" w:rsidRPr="00424243" w:rsidRDefault="0039584B" w:rsidP="00470AB3">
            <w:pPr>
              <w:numPr>
                <w:ilvl w:val="2"/>
                <w:numId w:val="0"/>
              </w:numPr>
              <w:tabs>
                <w:tab w:val="num" w:pos="737"/>
              </w:tabs>
              <w:spacing w:before="80" w:after="0" w:line="220" w:lineRule="atLeast"/>
              <w:ind w:left="737" w:hanging="397"/>
              <w:jc w:val="both"/>
            </w:pPr>
            <w:r w:rsidRPr="00424243">
              <w:t>(f) whether the occupier should be prevented from using any services that would otherwise be available to the occupier for the purposes of selling or gifting the mobile home;</w:t>
            </w:r>
          </w:p>
          <w:p w:rsidR="0039584B" w:rsidRPr="00424243" w:rsidRDefault="0039584B" w:rsidP="00470AB3">
            <w:pPr>
              <w:numPr>
                <w:ilvl w:val="2"/>
                <w:numId w:val="0"/>
              </w:numPr>
              <w:tabs>
                <w:tab w:val="num" w:pos="737"/>
              </w:tabs>
              <w:spacing w:before="80" w:after="0" w:line="220" w:lineRule="atLeast"/>
              <w:ind w:left="737" w:hanging="397"/>
              <w:jc w:val="both"/>
            </w:pPr>
            <w:r w:rsidRPr="00424243">
              <w:t>(g) whether the occupier should be prevented from advertising the mobile home for sale by means of a notice, board or placard affixed to the mobile home or to the pitch;</w:t>
            </w:r>
          </w:p>
          <w:p w:rsidR="0039584B" w:rsidRPr="00424243" w:rsidRDefault="0039584B" w:rsidP="00470AB3">
            <w:pPr>
              <w:numPr>
                <w:ilvl w:val="2"/>
                <w:numId w:val="0"/>
              </w:numPr>
              <w:tabs>
                <w:tab w:val="num" w:pos="737"/>
              </w:tabs>
              <w:spacing w:before="80" w:after="0" w:line="220" w:lineRule="atLeast"/>
              <w:ind w:left="737" w:hanging="397"/>
              <w:jc w:val="both"/>
            </w:pPr>
            <w:r w:rsidRPr="00424243">
              <w:t>(h) whether the occupier should be required to—</w:t>
            </w:r>
          </w:p>
          <w:p w:rsidR="0039584B" w:rsidRPr="00424243" w:rsidRDefault="0039584B" w:rsidP="00470AB3">
            <w:pPr>
              <w:numPr>
                <w:ilvl w:val="3"/>
                <w:numId w:val="0"/>
              </w:numPr>
              <w:tabs>
                <w:tab w:val="num" w:pos="1134"/>
              </w:tabs>
              <w:spacing w:before="80" w:after="0" w:line="220" w:lineRule="atLeast"/>
              <w:ind w:left="1134" w:hanging="113"/>
              <w:jc w:val="both"/>
            </w:pPr>
            <w:r w:rsidRPr="00424243">
              <w:t>(i) obtain a survey of the mobile home or the pitch; or</w:t>
            </w:r>
          </w:p>
          <w:p w:rsidR="0039584B" w:rsidRPr="00424243" w:rsidRDefault="0039584B" w:rsidP="00470AB3">
            <w:pPr>
              <w:numPr>
                <w:ilvl w:val="3"/>
                <w:numId w:val="0"/>
              </w:numPr>
              <w:tabs>
                <w:tab w:val="num" w:pos="1134"/>
              </w:tabs>
              <w:spacing w:before="80" w:after="0" w:line="220" w:lineRule="atLeast"/>
              <w:ind w:left="1134" w:hanging="113"/>
              <w:jc w:val="both"/>
            </w:pPr>
            <w:r w:rsidRPr="00424243">
              <w:t>(ii) permit the owner or his agents to undertake a survey of the mobile home or the pitch</w:t>
            </w:r>
          </w:p>
          <w:p w:rsidR="0039584B" w:rsidRPr="00424243" w:rsidRDefault="0039584B" w:rsidP="00470AB3">
            <w:pPr>
              <w:spacing w:before="80" w:after="0" w:line="220" w:lineRule="atLeast"/>
              <w:ind w:left="737"/>
              <w:jc w:val="both"/>
            </w:pPr>
            <w:r w:rsidRPr="00424243">
              <w:t>before selling or gifting the mobile home;</w:t>
            </w:r>
          </w:p>
          <w:p w:rsidR="0039584B" w:rsidRPr="00424243" w:rsidRDefault="0039584B" w:rsidP="00470AB3">
            <w:pPr>
              <w:numPr>
                <w:ilvl w:val="2"/>
                <w:numId w:val="0"/>
              </w:numPr>
              <w:tabs>
                <w:tab w:val="num" w:pos="737"/>
              </w:tabs>
              <w:spacing w:before="80" w:after="0" w:line="220" w:lineRule="atLeast"/>
              <w:ind w:left="737" w:hanging="397"/>
              <w:jc w:val="both"/>
            </w:pPr>
            <w:r w:rsidRPr="00424243">
              <w:t>(i) whether the occupier should be required to sell or gift the mobile home or assign the agreement in the presence of the owner;</w:t>
            </w:r>
          </w:p>
          <w:p w:rsidR="0039584B" w:rsidRPr="00424243" w:rsidRDefault="0039584B" w:rsidP="00470AB3">
            <w:pPr>
              <w:numPr>
                <w:ilvl w:val="2"/>
                <w:numId w:val="0"/>
              </w:numPr>
              <w:tabs>
                <w:tab w:val="num" w:pos="737"/>
              </w:tabs>
              <w:spacing w:before="80" w:after="0" w:line="220" w:lineRule="atLeast"/>
              <w:ind w:left="737" w:hanging="397"/>
              <w:jc w:val="both"/>
            </w:pPr>
            <w:r w:rsidRPr="00424243">
              <w:t>(j) whether the occupier or the proposed occupier should be required to provide the site owner with the personal details of the proposed occupier or of any other person intending to live in the mobile home with the proposed occupier;</w:t>
            </w:r>
          </w:p>
          <w:p w:rsidR="0039584B" w:rsidRPr="00424243" w:rsidRDefault="0039584B" w:rsidP="00470AB3">
            <w:pPr>
              <w:numPr>
                <w:ilvl w:val="2"/>
                <w:numId w:val="0"/>
              </w:numPr>
              <w:tabs>
                <w:tab w:val="num" w:pos="737"/>
              </w:tabs>
              <w:spacing w:before="80" w:after="0" w:line="220" w:lineRule="atLeast"/>
              <w:ind w:left="737" w:hanging="397"/>
              <w:jc w:val="both"/>
            </w:pPr>
            <w:r w:rsidRPr="00424243">
              <w:t>(k) whether the proposed occupier should be required to attend a meeting with the owner.</w:t>
            </w:r>
          </w:p>
          <w:p w:rsidR="0039584B" w:rsidRPr="00424243" w:rsidRDefault="0039584B" w:rsidP="00470AB3">
            <w:pPr>
              <w:spacing w:after="0" w:line="240" w:lineRule="exact"/>
              <w:rPr>
                <w:noProof/>
              </w:rPr>
            </w:pPr>
          </w:p>
          <w:p w:rsidR="0039584B" w:rsidRPr="00424243" w:rsidRDefault="0039584B" w:rsidP="00470AB3">
            <w:pPr>
              <w:spacing w:before="80" w:after="0" w:line="220" w:lineRule="atLeast"/>
              <w:ind w:left="340"/>
              <w:jc w:val="both"/>
            </w:pPr>
            <w:r w:rsidRPr="00424243">
              <w:t>The following are examples of “personal details”—</w:t>
            </w:r>
          </w:p>
          <w:p w:rsidR="0039584B" w:rsidRPr="00424243" w:rsidRDefault="0039584B" w:rsidP="00470AB3">
            <w:pPr>
              <w:spacing w:before="80" w:after="0" w:line="220" w:lineRule="atLeast"/>
              <w:ind w:left="340"/>
              <w:jc w:val="both"/>
            </w:pPr>
            <w:r w:rsidRPr="00424243">
              <w:t>(a) the home address, other contact details or vehicle registration number of the person concerned;</w:t>
            </w:r>
          </w:p>
          <w:p w:rsidR="0039584B" w:rsidRPr="00424243" w:rsidRDefault="0039584B" w:rsidP="00470AB3">
            <w:pPr>
              <w:spacing w:before="80" w:after="0" w:line="220" w:lineRule="atLeast"/>
              <w:ind w:left="340"/>
              <w:jc w:val="both"/>
            </w:pPr>
            <w:r w:rsidRPr="00424243">
              <w:t>(b) any financial information relating to the person concerned;</w:t>
            </w:r>
          </w:p>
          <w:p w:rsidR="0039584B" w:rsidRPr="00424243" w:rsidRDefault="0039584B" w:rsidP="00470AB3">
            <w:pPr>
              <w:spacing w:before="80" w:after="0" w:line="220" w:lineRule="atLeast"/>
              <w:ind w:left="340"/>
              <w:jc w:val="both"/>
            </w:pPr>
            <w:r w:rsidRPr="00424243">
              <w:t>(c) a birth certificate or certificate of marriage or civil partnership of the person concerned; and</w:t>
            </w:r>
          </w:p>
          <w:p w:rsidR="0039584B" w:rsidRPr="00424243" w:rsidRDefault="0039584B" w:rsidP="00470AB3">
            <w:pPr>
              <w:spacing w:before="80" w:after="0" w:line="220" w:lineRule="atLeast"/>
              <w:ind w:left="340"/>
              <w:jc w:val="both"/>
            </w:pPr>
            <w:r w:rsidRPr="00424243">
              <w:t>(d) details of the age, ethnic origin, sex or sexual orientation of the person concerned.</w:t>
            </w:r>
          </w:p>
          <w:p w:rsidR="0039584B" w:rsidRPr="00424243" w:rsidRDefault="0039584B" w:rsidP="00470AB3">
            <w:pPr>
              <w:spacing w:after="0" w:line="240" w:lineRule="exact"/>
              <w:rPr>
                <w:noProof/>
              </w:rPr>
            </w:pPr>
          </w:p>
          <w:p w:rsidR="0039584B" w:rsidRPr="00424243" w:rsidRDefault="0039584B" w:rsidP="00470AB3">
            <w:pPr>
              <w:spacing w:before="80" w:after="0" w:line="220" w:lineRule="atLeast"/>
              <w:jc w:val="both"/>
            </w:pPr>
            <w:r w:rsidRPr="00424243">
              <w:t>In sub-paragraphs (c), (d), (e), (f) and (h) above, references to selling a mobile home include a reference to marketing, advertising or offering the mobile home for sale.</w:t>
            </w:r>
          </w:p>
          <w:p w:rsidR="0039584B" w:rsidRPr="00424243" w:rsidRDefault="0039584B" w:rsidP="00470AB3">
            <w:pPr>
              <w:spacing w:before="160" w:after="0" w:line="220" w:lineRule="atLeast"/>
              <w:jc w:val="both"/>
            </w:pPr>
            <w:r w:rsidRPr="00424243">
              <w:rPr>
                <w:u w:val="single"/>
              </w:rPr>
              <w:t>Other matters</w:t>
            </w:r>
            <w:r w:rsidRPr="00424243">
              <w:t>:</w:t>
            </w:r>
          </w:p>
          <w:p w:rsidR="0039584B" w:rsidRPr="00424243" w:rsidRDefault="0039584B" w:rsidP="001014E8">
            <w:pPr>
              <w:spacing w:before="160" w:after="0" w:line="220" w:lineRule="atLeast"/>
              <w:ind w:left="360"/>
              <w:jc w:val="both"/>
            </w:pPr>
            <w:r w:rsidRPr="00424243">
              <w:t>(a) any matter which is expressed to grant an occupier a right subject to the exercise of a discretion by the owner, except in relation to improvements to an occupier’s plot (although this shall not prevent an owner from exercising discretion to grant an occupier a right in order to accommodate that occupier’s disability);</w:t>
            </w:r>
          </w:p>
          <w:p w:rsidR="0039584B" w:rsidRPr="00424243" w:rsidRDefault="0039584B" w:rsidP="00470AB3">
            <w:pPr>
              <w:spacing w:before="80" w:after="0" w:line="220" w:lineRule="atLeast"/>
              <w:ind w:left="340"/>
              <w:jc w:val="both"/>
            </w:pPr>
            <w:r w:rsidRPr="00424243">
              <w:t>(b) any matter which is expressed to apply retrospectively;</w:t>
            </w:r>
          </w:p>
          <w:p w:rsidR="0039584B" w:rsidRPr="00424243" w:rsidRDefault="0039584B" w:rsidP="00470AB3">
            <w:pPr>
              <w:spacing w:before="80" w:after="0" w:line="220" w:lineRule="atLeast"/>
              <w:ind w:left="340"/>
              <w:jc w:val="both"/>
            </w:pPr>
            <w:r w:rsidRPr="00424243">
              <w:t>(c) any matter which is contrary to the implied terms of the agreement, as defined by section 1 of the 1983 Act;</w:t>
            </w:r>
          </w:p>
          <w:p w:rsidR="0039584B" w:rsidRPr="00424243" w:rsidRDefault="0039584B" w:rsidP="00470AB3">
            <w:pPr>
              <w:spacing w:before="80" w:after="0" w:line="220" w:lineRule="atLeast"/>
              <w:ind w:left="340"/>
              <w:jc w:val="both"/>
            </w:pPr>
            <w:r w:rsidRPr="00424243">
              <w:t>(d)</w:t>
            </w:r>
            <w:r w:rsidRPr="00424243">
              <w:tab/>
              <w:t>any matter which is expressed to apply only to particular persons or to persons of a particular description, apart from where a rule makes an exception for the owner, the owner’s family or an employee of the owner (where an employee of the owner does not occupy the site under an agreement to which the 1983 Act applies);</w:t>
            </w:r>
          </w:p>
          <w:p w:rsidR="0039584B" w:rsidRPr="00424243" w:rsidRDefault="0039584B" w:rsidP="00470AB3">
            <w:pPr>
              <w:spacing w:before="80" w:after="0" w:line="220" w:lineRule="atLeast"/>
              <w:ind w:left="340"/>
              <w:jc w:val="both"/>
            </w:pPr>
            <w:r w:rsidRPr="00424243">
              <w:t>(e)</w:t>
            </w:r>
            <w:r w:rsidRPr="00424243">
              <w:tab/>
              <w:t>whether the occupier should be absolutely prohibited from making improvements to the home or</w:t>
            </w:r>
            <w:r w:rsidRPr="00424243">
              <w:tab/>
              <w:t>pitch;</w:t>
            </w:r>
          </w:p>
          <w:p w:rsidR="0039584B" w:rsidRPr="00424243" w:rsidRDefault="0039584B" w:rsidP="00470AB3">
            <w:pPr>
              <w:spacing w:before="80" w:after="0" w:line="220" w:lineRule="atLeast"/>
              <w:ind w:left="340"/>
              <w:jc w:val="both"/>
            </w:pPr>
            <w:r w:rsidRPr="00424243">
              <w:t>(f)</w:t>
            </w:r>
            <w:r w:rsidRPr="00424243">
              <w:tab/>
              <w:t>whether visitors to the site should be required to report to the owner on arrival;</w:t>
            </w:r>
          </w:p>
          <w:p w:rsidR="0039584B" w:rsidRPr="00424243" w:rsidRDefault="0039584B" w:rsidP="00470AB3">
            <w:pPr>
              <w:spacing w:before="80" w:after="0" w:line="220" w:lineRule="atLeast"/>
              <w:ind w:left="340"/>
              <w:jc w:val="both"/>
            </w:pPr>
            <w:r w:rsidRPr="00424243">
              <w:t>(g)</w:t>
            </w:r>
            <w:r w:rsidRPr="00424243">
              <w:tab/>
              <w:t>whether any category of person should be restricted from visiting the site, regardless of whether the site has an age restriction in place;</w:t>
            </w:r>
          </w:p>
          <w:p w:rsidR="0039584B" w:rsidRPr="00424243" w:rsidRDefault="0039584B" w:rsidP="00470AB3">
            <w:pPr>
              <w:spacing w:before="80" w:after="0" w:line="220" w:lineRule="atLeast"/>
              <w:ind w:left="340"/>
              <w:jc w:val="both"/>
            </w:pPr>
            <w:r w:rsidRPr="00424243">
              <w:t>(h)</w:t>
            </w:r>
            <w:r w:rsidRPr="00424243">
              <w:tab/>
              <w:t>whether the owner should be allowed to reduce the size of a pitch or its reorientation;</w:t>
            </w:r>
          </w:p>
          <w:p w:rsidR="0039584B" w:rsidRPr="00424243" w:rsidRDefault="0039584B" w:rsidP="00470AB3">
            <w:pPr>
              <w:spacing w:before="80" w:after="0" w:line="220" w:lineRule="atLeast"/>
              <w:ind w:left="340"/>
              <w:jc w:val="both"/>
            </w:pPr>
            <w:r w:rsidRPr="00424243">
              <w:t>(i)</w:t>
            </w:r>
            <w:r w:rsidRPr="00424243">
              <w:tab/>
              <w:t>whether the owner should require the collection of deposits or charge for other services or permissions in addition to charges for the pitch fee, utility charges, for parking or sheds, where the charge is not permitted to be made under the agreement (as defined by section 1 of the 1983 Act) or by other legislation;</w:t>
            </w:r>
          </w:p>
          <w:p w:rsidR="0039584B" w:rsidRPr="00424243" w:rsidRDefault="0039584B" w:rsidP="00470AB3">
            <w:pPr>
              <w:spacing w:before="80" w:after="0" w:line="220" w:lineRule="atLeast"/>
              <w:ind w:left="340"/>
              <w:jc w:val="both"/>
            </w:pPr>
            <w:r w:rsidRPr="00424243">
              <w:t>(j)</w:t>
            </w:r>
            <w:r w:rsidRPr="00424243">
              <w:tab/>
              <w:t>whether vehicular access to the site should be restricted in any way;</w:t>
            </w:r>
          </w:p>
          <w:p w:rsidR="0039584B" w:rsidRPr="00424243" w:rsidRDefault="0039584B" w:rsidP="00470AB3">
            <w:pPr>
              <w:spacing w:before="80" w:after="0" w:line="220" w:lineRule="atLeast"/>
              <w:ind w:left="340"/>
              <w:jc w:val="both"/>
            </w:pPr>
            <w:r w:rsidRPr="00424243">
              <w:t>(k)</w:t>
            </w:r>
            <w:r w:rsidRPr="00424243">
              <w:tab/>
              <w:t>whether the occupier may have visitors to stay for short periods of time, whether or not the occupier is present at the time;</w:t>
            </w:r>
          </w:p>
          <w:p w:rsidR="0039584B" w:rsidRPr="00424243" w:rsidRDefault="0039584B" w:rsidP="00470AB3">
            <w:pPr>
              <w:spacing w:before="80" w:after="0" w:line="220" w:lineRule="atLeast"/>
              <w:ind w:left="340"/>
              <w:jc w:val="both"/>
            </w:pPr>
            <w:r w:rsidRPr="00424243">
              <w:t>(l)</w:t>
            </w:r>
            <w:r w:rsidRPr="00424243">
              <w:tab/>
              <w:t>whether the occupier should be required to purchase only goods or services supplied by the owner or such other person as the owner may nominate;</w:t>
            </w:r>
          </w:p>
          <w:p w:rsidR="0039584B" w:rsidRPr="00424243" w:rsidRDefault="0039584B" w:rsidP="00470AB3">
            <w:pPr>
              <w:spacing w:before="80" w:after="0" w:line="220" w:lineRule="atLeast"/>
              <w:ind w:left="340"/>
              <w:jc w:val="both"/>
            </w:pPr>
            <w:r w:rsidRPr="00424243">
              <w:t>(m)</w:t>
            </w:r>
            <w:r w:rsidRPr="00424243">
              <w:tab/>
              <w:t>whether the occupier should be required to use only such tradesmen as the owner may nominate, including the owner himself;</w:t>
            </w:r>
          </w:p>
          <w:p w:rsidR="0039584B" w:rsidRPr="00424243" w:rsidRDefault="0039584B" w:rsidP="00470AB3">
            <w:pPr>
              <w:spacing w:before="80" w:after="0" w:line="220" w:lineRule="atLeast"/>
              <w:ind w:left="340"/>
              <w:jc w:val="both"/>
            </w:pPr>
            <w:r w:rsidRPr="00424243">
              <w:t>(n)</w:t>
            </w:r>
            <w:r w:rsidRPr="00424243">
              <w:tab/>
              <w:t>whether the site rules may be changed other than by the procedure set out in regulations 7 to 13 of these regulations;</w:t>
            </w:r>
          </w:p>
          <w:p w:rsidR="0039584B" w:rsidRPr="00424243" w:rsidRDefault="0039584B" w:rsidP="00470AB3">
            <w:pPr>
              <w:spacing w:before="80" w:after="0" w:line="220" w:lineRule="atLeast"/>
              <w:ind w:left="340"/>
              <w:jc w:val="both"/>
            </w:pPr>
            <w:r w:rsidRPr="00424243">
              <w:t>(o)</w:t>
            </w:r>
            <w:r w:rsidRPr="00424243">
              <w:tab/>
              <w:t>whether the site rules may purport to threaten eviction for failure to comply with the site rules.</w:t>
            </w:r>
          </w:p>
          <w:p w:rsidR="0039584B" w:rsidRPr="00424243" w:rsidRDefault="0039584B" w:rsidP="00470AB3">
            <w:pPr>
              <w:spacing w:after="0" w:line="240" w:lineRule="exact"/>
              <w:rPr>
                <w:noProof/>
              </w:rPr>
            </w:pPr>
          </w:p>
          <w:p w:rsidR="0039584B" w:rsidRPr="00424243" w:rsidRDefault="0039584B" w:rsidP="00470AB3">
            <w:pPr>
              <w:pStyle w:val="N1"/>
              <w:numPr>
                <w:ilvl w:val="0"/>
                <w:numId w:val="0"/>
              </w:numPr>
              <w:ind w:firstLine="170"/>
              <w:rPr>
                <w:rFonts w:ascii="Arial" w:hAnsi="Arial" w:cs="Arial"/>
                <w:sz w:val="24"/>
                <w:szCs w:val="24"/>
              </w:rPr>
            </w:pPr>
            <w:r w:rsidRPr="00424243">
              <w:rPr>
                <w:rFonts w:ascii="Arial" w:hAnsi="Arial" w:cs="Arial"/>
                <w:sz w:val="24"/>
                <w:szCs w:val="24"/>
              </w:rPr>
              <w:t>Where—</w:t>
            </w:r>
          </w:p>
          <w:p w:rsidR="0039584B" w:rsidRPr="00424243" w:rsidRDefault="0039584B" w:rsidP="00F57DD2">
            <w:pPr>
              <w:pStyle w:val="N3"/>
              <w:rPr>
                <w:rFonts w:ascii="Arial" w:hAnsi="Arial" w:cs="Arial"/>
                <w:sz w:val="24"/>
                <w:szCs w:val="24"/>
              </w:rPr>
            </w:pPr>
            <w:r w:rsidRPr="00424243">
              <w:rPr>
                <w:rFonts w:ascii="Arial" w:hAnsi="Arial" w:cs="Arial"/>
                <w:sz w:val="24"/>
                <w:szCs w:val="24"/>
              </w:rPr>
              <w:t>prior to the deposit of a site rule, the occupier of a site enjoyed a benefit; and</w:t>
            </w:r>
          </w:p>
          <w:p w:rsidR="0039584B" w:rsidRPr="00424243" w:rsidRDefault="0039584B" w:rsidP="007852CD">
            <w:pPr>
              <w:pStyle w:val="N3"/>
              <w:tabs>
                <w:tab w:val="clear" w:pos="737"/>
              </w:tabs>
              <w:ind w:left="360" w:hanging="20"/>
              <w:rPr>
                <w:rFonts w:ascii="Arial" w:hAnsi="Arial" w:cs="Arial"/>
                <w:sz w:val="24"/>
                <w:szCs w:val="24"/>
              </w:rPr>
            </w:pPr>
            <w:r w:rsidRPr="00424243">
              <w:rPr>
                <w:rFonts w:ascii="Arial" w:hAnsi="Arial" w:cs="Arial"/>
                <w:sz w:val="24"/>
                <w:szCs w:val="24"/>
              </w:rPr>
              <w:t xml:space="preserve">the effect of the coming into force of the deposited site rule is that the enjoyment of the benefit by the occupier will be in breach of the deposited site </w:t>
            </w:r>
            <w:r w:rsidRPr="00424243">
              <w:rPr>
                <w:rFonts w:ascii="Arial" w:hAnsi="Arial" w:cs="Arial"/>
                <w:sz w:val="24"/>
                <w:szCs w:val="24"/>
              </w:rPr>
              <w:lastRenderedPageBreak/>
              <w:t>rule;</w:t>
            </w:r>
          </w:p>
          <w:p w:rsidR="0039584B" w:rsidRPr="00424243" w:rsidRDefault="0039584B" w:rsidP="00470AB3">
            <w:pPr>
              <w:pStyle w:val="N2"/>
              <w:numPr>
                <w:ilvl w:val="0"/>
                <w:numId w:val="0"/>
              </w:numPr>
              <w:ind w:left="170"/>
              <w:rPr>
                <w:rFonts w:ascii="Arial" w:hAnsi="Arial" w:cs="Arial"/>
                <w:sz w:val="24"/>
                <w:szCs w:val="24"/>
              </w:rPr>
            </w:pPr>
            <w:r w:rsidRPr="00424243">
              <w:rPr>
                <w:rFonts w:ascii="Arial" w:hAnsi="Arial" w:cs="Arial"/>
                <w:sz w:val="24"/>
                <w:szCs w:val="24"/>
              </w:rPr>
              <w:t>the occupier will not be in breach of the deposited site rule for the period that the benefit continues to subsist.</w:t>
            </w:r>
          </w:p>
          <w:p w:rsidR="0039584B" w:rsidRPr="007852CD" w:rsidRDefault="0039584B" w:rsidP="007852CD">
            <w:pPr>
              <w:pStyle w:val="N2"/>
              <w:numPr>
                <w:ilvl w:val="0"/>
                <w:numId w:val="0"/>
              </w:numPr>
              <w:ind w:left="180" w:hanging="10"/>
              <w:rPr>
                <w:rFonts w:ascii="Arial" w:hAnsi="Arial" w:cs="Arial"/>
                <w:sz w:val="24"/>
                <w:szCs w:val="24"/>
              </w:rPr>
            </w:pPr>
            <w:r w:rsidRPr="007852CD">
              <w:rPr>
                <w:rFonts w:ascii="Arial" w:hAnsi="Arial" w:cs="Arial"/>
                <w:sz w:val="24"/>
                <w:szCs w:val="24"/>
              </w:rPr>
              <w:t>On the cessation of the benefit, the occupier will be bound by the deposited site rule.</w:t>
            </w:r>
          </w:p>
          <w:p w:rsidR="0039584B" w:rsidRPr="00424243" w:rsidRDefault="0039584B" w:rsidP="00470AB3">
            <w:pPr>
              <w:spacing w:after="0" w:line="220" w:lineRule="atLeast"/>
            </w:pPr>
          </w:p>
        </w:tc>
      </w:tr>
      <w:tr w:rsidR="0039584B" w:rsidRPr="00470AB3" w:rsidTr="00470AB3">
        <w:tc>
          <w:tcPr>
            <w:tcW w:w="9242" w:type="dxa"/>
          </w:tcPr>
          <w:p w:rsidR="0039584B" w:rsidRPr="00424243" w:rsidRDefault="0039584B" w:rsidP="00470AB3">
            <w:pPr>
              <w:spacing w:after="0" w:line="220" w:lineRule="atLeast"/>
            </w:pPr>
            <w:r w:rsidRPr="001014E8">
              <w:rPr>
                <w:b/>
              </w:rPr>
              <w:lastRenderedPageBreak/>
              <w:t>(iii)</w:t>
            </w:r>
            <w:r w:rsidRPr="00424243">
              <w:t xml:space="preserve"> The consultation response document is the document referred to in regulation 9, in the form set out in Schedule 2 or in a form substantially to the like effect.</w:t>
            </w:r>
          </w:p>
          <w:p w:rsidR="0039584B" w:rsidRPr="00424243" w:rsidRDefault="0039584B" w:rsidP="00470AB3">
            <w:pPr>
              <w:spacing w:after="0" w:line="220" w:lineRule="atLeast"/>
            </w:pPr>
          </w:p>
        </w:tc>
      </w:tr>
      <w:tr w:rsidR="0039584B" w:rsidRPr="00470AB3" w:rsidTr="00470AB3">
        <w:tc>
          <w:tcPr>
            <w:tcW w:w="9242" w:type="dxa"/>
          </w:tcPr>
          <w:p w:rsidR="0039584B" w:rsidRPr="00424243" w:rsidRDefault="0039584B" w:rsidP="00470AB3">
            <w:pPr>
              <w:spacing w:after="0" w:line="220" w:lineRule="atLeast"/>
            </w:pPr>
            <w:r w:rsidRPr="001014E8">
              <w:rPr>
                <w:b/>
              </w:rPr>
              <w:t xml:space="preserve">(iv) </w:t>
            </w:r>
            <w:r w:rsidRPr="00424243">
              <w:t>Regulation 7 sets out the requirement to consult every occupier and any qualifying residents’ association (as defined by paragraph 28 of Chapter 2 of Part 1 of Schedule 1 to the Mobile Homes Act 1983).</w:t>
            </w:r>
          </w:p>
          <w:p w:rsidR="0039584B" w:rsidRPr="00424243" w:rsidRDefault="0039584B" w:rsidP="00470AB3">
            <w:pPr>
              <w:spacing w:after="0" w:line="220" w:lineRule="atLeast"/>
              <w:rPr>
                <w:b/>
              </w:rPr>
            </w:pPr>
          </w:p>
        </w:tc>
      </w:tr>
      <w:tr w:rsidR="0039584B" w:rsidRPr="00470AB3" w:rsidTr="00470AB3">
        <w:tc>
          <w:tcPr>
            <w:tcW w:w="9242" w:type="dxa"/>
          </w:tcPr>
          <w:p w:rsidR="0039584B" w:rsidRPr="00424243" w:rsidRDefault="0039584B" w:rsidP="00470AB3">
            <w:pPr>
              <w:spacing w:after="0" w:line="220" w:lineRule="atLeast"/>
            </w:pPr>
            <w:r w:rsidRPr="001014E8">
              <w:rPr>
                <w:b/>
              </w:rPr>
              <w:t>(v)</w:t>
            </w:r>
            <w:r w:rsidRPr="00424243">
              <w:t xml:space="preserve"> Regulation 3(2) sets out the rules of service. The first consultation day is the day on which notice is deemed served on a consultee. </w:t>
            </w:r>
          </w:p>
          <w:p w:rsidR="0039584B" w:rsidRPr="00424243" w:rsidRDefault="0039584B" w:rsidP="00470AB3">
            <w:pPr>
              <w:spacing w:after="0" w:line="220" w:lineRule="atLeast"/>
              <w:rPr>
                <w:b/>
              </w:rPr>
            </w:pPr>
          </w:p>
        </w:tc>
      </w:tr>
      <w:tr w:rsidR="0039584B" w:rsidRPr="00470AB3" w:rsidTr="00470AB3">
        <w:tc>
          <w:tcPr>
            <w:tcW w:w="9242" w:type="dxa"/>
          </w:tcPr>
          <w:p w:rsidR="0039584B" w:rsidRPr="00424243" w:rsidRDefault="0039584B" w:rsidP="00470AB3">
            <w:pPr>
              <w:spacing w:after="0" w:line="220" w:lineRule="atLeast"/>
            </w:pPr>
            <w:r w:rsidRPr="001014E8">
              <w:rPr>
                <w:b/>
              </w:rPr>
              <w:t>(vi)</w:t>
            </w:r>
            <w:r w:rsidRPr="00424243">
              <w:t xml:space="preserve"> The date by which any representations made in response to the proposal must be received by the site owner must be at least 28 days after the first consultation day.   </w:t>
            </w:r>
          </w:p>
          <w:p w:rsidR="0039584B" w:rsidRPr="00424243" w:rsidRDefault="0039584B" w:rsidP="00470AB3">
            <w:pPr>
              <w:spacing w:after="0" w:line="220" w:lineRule="atLeast"/>
            </w:pPr>
          </w:p>
        </w:tc>
      </w:tr>
      <w:tr w:rsidR="0039584B" w:rsidRPr="00470AB3" w:rsidTr="00470AB3">
        <w:tc>
          <w:tcPr>
            <w:tcW w:w="9242" w:type="dxa"/>
          </w:tcPr>
          <w:p w:rsidR="0039584B" w:rsidRPr="00424243" w:rsidRDefault="0039584B" w:rsidP="00470AB3">
            <w:pPr>
              <w:spacing w:after="0" w:line="220" w:lineRule="atLeast"/>
            </w:pPr>
            <w:r w:rsidRPr="001014E8">
              <w:rPr>
                <w:b/>
              </w:rPr>
              <w:t>(vii)</w:t>
            </w:r>
            <w:r w:rsidRPr="00424243">
              <w:t xml:space="preserve"> Signature of the site owner or a person authorised to sign on the site owner’s behalf.</w:t>
            </w:r>
          </w:p>
          <w:p w:rsidR="0039584B" w:rsidRPr="00424243" w:rsidRDefault="0039584B" w:rsidP="00470AB3">
            <w:pPr>
              <w:spacing w:after="0" w:line="220" w:lineRule="atLeast"/>
            </w:pPr>
          </w:p>
        </w:tc>
      </w:tr>
    </w:tbl>
    <w:p w:rsidR="0039584B" w:rsidRDefault="0039584B"/>
    <w:p w:rsidR="0039584B" w:rsidRPr="00056850" w:rsidRDefault="0039584B"/>
    <w:sectPr w:rsidR="0039584B" w:rsidRPr="00056850" w:rsidSect="008A1AB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4B" w:rsidRDefault="0039584B" w:rsidP="00056850">
      <w:pPr>
        <w:spacing w:after="0" w:line="240" w:lineRule="auto"/>
      </w:pPr>
      <w:r>
        <w:separator/>
      </w:r>
    </w:p>
  </w:endnote>
  <w:endnote w:type="continuationSeparator" w:id="0">
    <w:p w:rsidR="0039584B" w:rsidRDefault="0039584B"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4B" w:rsidRDefault="0039584B" w:rsidP="00A6086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9584B" w:rsidRDefault="0039584B" w:rsidP="008A1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4B" w:rsidRDefault="0039584B" w:rsidP="00A6086A">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83B07">
      <w:rPr>
        <w:rStyle w:val="PageNumber"/>
        <w:rFonts w:cs="Arial"/>
        <w:noProof/>
      </w:rPr>
      <w:t>1</w:t>
    </w:r>
    <w:r>
      <w:rPr>
        <w:rStyle w:val="PageNumber"/>
        <w:rFonts w:cs="Arial"/>
      </w:rPr>
      <w:fldChar w:fldCharType="end"/>
    </w:r>
  </w:p>
  <w:p w:rsidR="0039584B" w:rsidRDefault="0039584B" w:rsidP="008A1A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4B" w:rsidRDefault="00395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4B" w:rsidRDefault="0039584B" w:rsidP="00056850">
      <w:pPr>
        <w:spacing w:after="0" w:line="240" w:lineRule="auto"/>
      </w:pPr>
      <w:r>
        <w:separator/>
      </w:r>
    </w:p>
  </w:footnote>
  <w:footnote w:type="continuationSeparator" w:id="0">
    <w:p w:rsidR="0039584B" w:rsidRDefault="0039584B"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4B" w:rsidRDefault="00395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4B" w:rsidRDefault="00395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4B" w:rsidRDefault="00395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E42E1"/>
    <w:multiLevelType w:val="multilevel"/>
    <w:tmpl w:val="51EA154E"/>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93+IRCN62qcq+D7FvQP1kvrsiAA=" w:salt="4NEpDa5cqPKyjS2n1a7np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C8"/>
    <w:rsid w:val="00056850"/>
    <w:rsid w:val="001014E8"/>
    <w:rsid w:val="001B7FE9"/>
    <w:rsid w:val="001C7C17"/>
    <w:rsid w:val="00201AFE"/>
    <w:rsid w:val="00272D65"/>
    <w:rsid w:val="00277455"/>
    <w:rsid w:val="00297765"/>
    <w:rsid w:val="002A4D54"/>
    <w:rsid w:val="002E1F94"/>
    <w:rsid w:val="002E5FB4"/>
    <w:rsid w:val="00304E96"/>
    <w:rsid w:val="003450D9"/>
    <w:rsid w:val="00352B4E"/>
    <w:rsid w:val="0036383F"/>
    <w:rsid w:val="003744D8"/>
    <w:rsid w:val="00385039"/>
    <w:rsid w:val="0039584B"/>
    <w:rsid w:val="003A377D"/>
    <w:rsid w:val="003E157B"/>
    <w:rsid w:val="003E76D1"/>
    <w:rsid w:val="00424243"/>
    <w:rsid w:val="004366E2"/>
    <w:rsid w:val="00470AB3"/>
    <w:rsid w:val="004B361B"/>
    <w:rsid w:val="004B7912"/>
    <w:rsid w:val="005044ED"/>
    <w:rsid w:val="00550231"/>
    <w:rsid w:val="00586E55"/>
    <w:rsid w:val="005921AE"/>
    <w:rsid w:val="005D5565"/>
    <w:rsid w:val="00611E70"/>
    <w:rsid w:val="00663147"/>
    <w:rsid w:val="00674513"/>
    <w:rsid w:val="006C2B6F"/>
    <w:rsid w:val="007852CD"/>
    <w:rsid w:val="00794425"/>
    <w:rsid w:val="0088534D"/>
    <w:rsid w:val="008A1ABF"/>
    <w:rsid w:val="008A4CCF"/>
    <w:rsid w:val="00914946"/>
    <w:rsid w:val="009A671A"/>
    <w:rsid w:val="009B1EBE"/>
    <w:rsid w:val="009C478E"/>
    <w:rsid w:val="009E009F"/>
    <w:rsid w:val="009E1BD9"/>
    <w:rsid w:val="009F13A3"/>
    <w:rsid w:val="00A01F2B"/>
    <w:rsid w:val="00A6086A"/>
    <w:rsid w:val="00A64EAA"/>
    <w:rsid w:val="00AB33F4"/>
    <w:rsid w:val="00AC431A"/>
    <w:rsid w:val="00B64EFC"/>
    <w:rsid w:val="00B65A8B"/>
    <w:rsid w:val="00BA5F47"/>
    <w:rsid w:val="00BA7CC8"/>
    <w:rsid w:val="00C04B2D"/>
    <w:rsid w:val="00C37D19"/>
    <w:rsid w:val="00C45AE5"/>
    <w:rsid w:val="00C84DBB"/>
    <w:rsid w:val="00D36B0E"/>
    <w:rsid w:val="00D53268"/>
    <w:rsid w:val="00D956FB"/>
    <w:rsid w:val="00E20D54"/>
    <w:rsid w:val="00E579FD"/>
    <w:rsid w:val="00E776AD"/>
    <w:rsid w:val="00E83B07"/>
    <w:rsid w:val="00EB3974"/>
    <w:rsid w:val="00ED0D97"/>
    <w:rsid w:val="00EE0417"/>
    <w:rsid w:val="00F1208D"/>
    <w:rsid w:val="00F22858"/>
    <w:rsid w:val="00F57DD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5"/>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6850"/>
    <w:rPr>
      <w:rFonts w:cs="Times New Roman"/>
    </w:rPr>
  </w:style>
  <w:style w:type="paragraph" w:styleId="Footer">
    <w:name w:val="footer"/>
    <w:basedOn w:val="Normal"/>
    <w:link w:val="FooterChar"/>
    <w:uiPriority w:val="99"/>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6850"/>
    <w:rPr>
      <w:rFonts w:cs="Times New Roman"/>
    </w:rPr>
  </w:style>
  <w:style w:type="paragraph" w:styleId="BalloonText">
    <w:name w:val="Balloon Text"/>
    <w:basedOn w:val="Normal"/>
    <w:link w:val="BalloonTextChar"/>
    <w:uiPriority w:val="99"/>
    <w:semiHidden/>
    <w:rsid w:val="00AB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3F4"/>
    <w:rPr>
      <w:rFonts w:ascii="Tahoma" w:hAnsi="Tahoma" w:cs="Tahoma"/>
      <w:sz w:val="16"/>
      <w:szCs w:val="16"/>
    </w:rPr>
  </w:style>
  <w:style w:type="table" w:styleId="TableGrid">
    <w:name w:val="Table Grid"/>
    <w:basedOn w:val="TableNormal"/>
    <w:uiPriority w:val="99"/>
    <w:rsid w:val="00AB33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ormal"/>
    <w:uiPriority w:val="99"/>
    <w:rsid w:val="00F57DD2"/>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uiPriority w:val="99"/>
    <w:rsid w:val="00F57DD2"/>
    <w:pPr>
      <w:numPr>
        <w:ilvl w:val="1"/>
      </w:numPr>
      <w:spacing w:before="80"/>
    </w:pPr>
  </w:style>
  <w:style w:type="paragraph" w:customStyle="1" w:styleId="N3">
    <w:name w:val="N3"/>
    <w:basedOn w:val="N2"/>
    <w:uiPriority w:val="99"/>
    <w:rsid w:val="00F57DD2"/>
    <w:pPr>
      <w:numPr>
        <w:ilvl w:val="2"/>
      </w:numPr>
    </w:pPr>
  </w:style>
  <w:style w:type="paragraph" w:customStyle="1" w:styleId="N4">
    <w:name w:val="N4"/>
    <w:basedOn w:val="N3"/>
    <w:uiPriority w:val="99"/>
    <w:rsid w:val="00F57DD2"/>
    <w:pPr>
      <w:numPr>
        <w:ilvl w:val="3"/>
      </w:numPr>
    </w:pPr>
  </w:style>
  <w:style w:type="paragraph" w:customStyle="1" w:styleId="N5">
    <w:name w:val="N5"/>
    <w:basedOn w:val="N4"/>
    <w:uiPriority w:val="99"/>
    <w:rsid w:val="00F57DD2"/>
    <w:pPr>
      <w:numPr>
        <w:ilvl w:val="4"/>
      </w:numPr>
    </w:pPr>
  </w:style>
  <w:style w:type="character" w:styleId="PageNumber">
    <w:name w:val="page number"/>
    <w:basedOn w:val="DefaultParagraphFont"/>
    <w:uiPriority w:val="99"/>
    <w:rsid w:val="008A1A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5"/>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6850"/>
    <w:rPr>
      <w:rFonts w:cs="Times New Roman"/>
    </w:rPr>
  </w:style>
  <w:style w:type="paragraph" w:styleId="Footer">
    <w:name w:val="footer"/>
    <w:basedOn w:val="Normal"/>
    <w:link w:val="FooterChar"/>
    <w:uiPriority w:val="99"/>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6850"/>
    <w:rPr>
      <w:rFonts w:cs="Times New Roman"/>
    </w:rPr>
  </w:style>
  <w:style w:type="paragraph" w:styleId="BalloonText">
    <w:name w:val="Balloon Text"/>
    <w:basedOn w:val="Normal"/>
    <w:link w:val="BalloonTextChar"/>
    <w:uiPriority w:val="99"/>
    <w:semiHidden/>
    <w:rsid w:val="00AB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3F4"/>
    <w:rPr>
      <w:rFonts w:ascii="Tahoma" w:hAnsi="Tahoma" w:cs="Tahoma"/>
      <w:sz w:val="16"/>
      <w:szCs w:val="16"/>
    </w:rPr>
  </w:style>
  <w:style w:type="table" w:styleId="TableGrid">
    <w:name w:val="Table Grid"/>
    <w:basedOn w:val="TableNormal"/>
    <w:uiPriority w:val="99"/>
    <w:rsid w:val="00AB33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ormal"/>
    <w:uiPriority w:val="99"/>
    <w:rsid w:val="00F57DD2"/>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uiPriority w:val="99"/>
    <w:rsid w:val="00F57DD2"/>
    <w:pPr>
      <w:numPr>
        <w:ilvl w:val="1"/>
      </w:numPr>
      <w:spacing w:before="80"/>
    </w:pPr>
  </w:style>
  <w:style w:type="paragraph" w:customStyle="1" w:styleId="N3">
    <w:name w:val="N3"/>
    <w:basedOn w:val="N2"/>
    <w:uiPriority w:val="99"/>
    <w:rsid w:val="00F57DD2"/>
    <w:pPr>
      <w:numPr>
        <w:ilvl w:val="2"/>
      </w:numPr>
    </w:pPr>
  </w:style>
  <w:style w:type="paragraph" w:customStyle="1" w:styleId="N4">
    <w:name w:val="N4"/>
    <w:basedOn w:val="N3"/>
    <w:uiPriority w:val="99"/>
    <w:rsid w:val="00F57DD2"/>
    <w:pPr>
      <w:numPr>
        <w:ilvl w:val="3"/>
      </w:numPr>
    </w:pPr>
  </w:style>
  <w:style w:type="paragraph" w:customStyle="1" w:styleId="N5">
    <w:name w:val="N5"/>
    <w:basedOn w:val="N4"/>
    <w:uiPriority w:val="99"/>
    <w:rsid w:val="00F57DD2"/>
    <w:pPr>
      <w:numPr>
        <w:ilvl w:val="4"/>
      </w:numPr>
    </w:pPr>
  </w:style>
  <w:style w:type="character" w:styleId="PageNumber">
    <w:name w:val="page number"/>
    <w:basedOn w:val="DefaultParagraphFont"/>
    <w:uiPriority w:val="99"/>
    <w:rsid w:val="008A1A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96AC18B-199A-4E55-8D92-7FFD72BCE37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6672</Characters>
  <Application>Microsoft Office Word</Application>
  <DocSecurity>12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Timson</dc:creator>
  <cp:lastModifiedBy>John Norman</cp:lastModifiedBy>
  <cp:revision>2</cp:revision>
  <dcterms:created xsi:type="dcterms:W3CDTF">2014-02-03T15:55:00Z</dcterms:created>
  <dcterms:modified xsi:type="dcterms:W3CDTF">2014-02-03T15:55:00Z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63fcb38d-1fea-47e6-adfa-18b2b0d68859</vt:lpwstr>
  </property>
  <property fmtid="{D5CDD505-2E9C-101B-9397-08002B2CF9AE}" pid="3" name="bjSaver">
    <vt:lpwstr>qoa+8t46++x5jV30XO7GX7itM0GSQcrg</vt:lpwstr>
  </property>
  <property fmtid="{D5CDD505-2E9C-101B-9397-08002B2CF9AE}" pid="4" name="bjDocumentSecurityLabel">
    <vt:lpwstr>No Marking</vt:lpwstr>
  </property>
</Properties>
</file>